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DA" w:rsidRPr="00EA0612" w:rsidRDefault="00E907BF" w:rsidP="00963AA9">
      <w:pPr>
        <w:jc w:val="right"/>
      </w:pPr>
      <w:bookmarkStart w:id="0" w:name="_GoBack"/>
      <w:bookmarkEnd w:id="0"/>
    </w:p>
    <w:p w:rsidR="009C1BDA" w:rsidRPr="00FC4EB9" w:rsidRDefault="00E907BF" w:rsidP="009C1BDA">
      <w:pPr>
        <w:jc w:val="both"/>
      </w:pPr>
    </w:p>
    <w:p w:rsidR="009C1BDA" w:rsidRDefault="00EA0612" w:rsidP="009C1BDA">
      <w:pPr>
        <w:pBdr>
          <w:bottom w:val="single" w:sz="12" w:space="1" w:color="auto"/>
        </w:pBdr>
        <w:jc w:val="both"/>
        <w:rPr>
          <w:b/>
          <w:sz w:val="28"/>
          <w:szCs w:val="28"/>
        </w:rPr>
      </w:pPr>
      <w:r w:rsidRPr="009C1BDA">
        <w:rPr>
          <w:b/>
          <w:sz w:val="28"/>
          <w:szCs w:val="28"/>
        </w:rPr>
        <w:t>Treasury Management Policy Statement</w:t>
      </w:r>
    </w:p>
    <w:p w:rsidR="009C1BDA" w:rsidRPr="00FC4EB9" w:rsidRDefault="00E907BF" w:rsidP="009C1BDA">
      <w:pPr>
        <w:jc w:val="both"/>
        <w:rPr>
          <w:b/>
        </w:rPr>
      </w:pPr>
    </w:p>
    <w:p w:rsidR="009C1BDA" w:rsidRPr="00FC4EB9" w:rsidRDefault="00EA0612" w:rsidP="009C1BDA">
      <w:pPr>
        <w:jc w:val="both"/>
      </w:pPr>
      <w:r w:rsidRPr="00FC4EB9">
        <w:t xml:space="preserve">The </w:t>
      </w:r>
      <w:r>
        <w:t>council's</w:t>
      </w:r>
      <w:r w:rsidRPr="00FC4EB9">
        <w:t xml:space="preserve"> financial regulations require it to maintain a treasury management policy statement, stating the policies, objectives and approach to risk management of its treasury activities, </w:t>
      </w:r>
      <w:r>
        <w:t>forming</w:t>
      </w:r>
      <w:r w:rsidRPr="00FC4EB9">
        <w:t xml:space="preserve"> a cornerstone </w:t>
      </w:r>
      <w:r>
        <w:t>of</w:t>
      </w:r>
      <w:r w:rsidRPr="00FC4EB9">
        <w:t xml:space="preserve"> </w:t>
      </w:r>
      <w:r>
        <w:t xml:space="preserve">its </w:t>
      </w:r>
      <w:r w:rsidRPr="00FC4EB9">
        <w:t>effective treasury management.</w:t>
      </w:r>
    </w:p>
    <w:p w:rsidR="009C1BDA" w:rsidRPr="00FC4EB9" w:rsidRDefault="00E907BF" w:rsidP="009C1BDA">
      <w:pPr>
        <w:jc w:val="both"/>
        <w:rPr>
          <w:b/>
        </w:rPr>
      </w:pPr>
    </w:p>
    <w:p w:rsidR="009C1BDA" w:rsidRPr="00FC4EB9" w:rsidRDefault="00EA0612" w:rsidP="009C1BDA">
      <w:pPr>
        <w:jc w:val="both"/>
        <w:rPr>
          <w:i/>
        </w:rPr>
      </w:pPr>
      <w:r w:rsidRPr="00FC4EB9">
        <w:rPr>
          <w:i/>
        </w:rPr>
        <w:t>Definition</w:t>
      </w:r>
    </w:p>
    <w:p w:rsidR="002611EC" w:rsidRDefault="00EA0612" w:rsidP="009C1BDA">
      <w:pPr>
        <w:jc w:val="both"/>
      </w:pPr>
      <w:r w:rsidRPr="00FC4EB9">
        <w:t xml:space="preserve">The </w:t>
      </w:r>
      <w:r>
        <w:t>council</w:t>
      </w:r>
      <w:r w:rsidRPr="00FC4EB9">
        <w:t xml:space="preserve"> defines its treasury management activities as:</w:t>
      </w:r>
    </w:p>
    <w:p w:rsidR="009D0763" w:rsidRDefault="00EA0612" w:rsidP="009D0763">
      <w:pPr>
        <w:pStyle w:val="ListParagraph"/>
        <w:numPr>
          <w:ilvl w:val="0"/>
          <w:numId w:val="1"/>
        </w:numPr>
        <w:jc w:val="both"/>
      </w:pPr>
      <w:r w:rsidRPr="00FC4EB9">
        <w:t xml:space="preserve">the management of investments and cash flows, </w:t>
      </w:r>
    </w:p>
    <w:p w:rsidR="009D0763" w:rsidRDefault="00EA0612" w:rsidP="009D0763">
      <w:pPr>
        <w:pStyle w:val="ListParagraph"/>
        <w:numPr>
          <w:ilvl w:val="0"/>
          <w:numId w:val="1"/>
        </w:numPr>
        <w:jc w:val="both"/>
      </w:pPr>
      <w:r w:rsidRPr="00FC4EB9">
        <w:t xml:space="preserve">its banking, money market and capital market transactions; </w:t>
      </w:r>
    </w:p>
    <w:p w:rsidR="009D0763" w:rsidRDefault="00EA0612" w:rsidP="009D0763">
      <w:pPr>
        <w:pStyle w:val="ListParagraph"/>
        <w:numPr>
          <w:ilvl w:val="0"/>
          <w:numId w:val="1"/>
        </w:numPr>
        <w:jc w:val="both"/>
      </w:pPr>
      <w:r w:rsidRPr="00FC4EB9">
        <w:t xml:space="preserve">the effective control of the risks associated with those activities; and </w:t>
      </w:r>
    </w:p>
    <w:p w:rsidR="009D0763" w:rsidRDefault="00EA0612" w:rsidP="009D0763">
      <w:pPr>
        <w:pStyle w:val="ListParagraph"/>
        <w:numPr>
          <w:ilvl w:val="0"/>
          <w:numId w:val="1"/>
        </w:numPr>
        <w:jc w:val="both"/>
      </w:pPr>
      <w:r w:rsidRPr="00FC4EB9">
        <w:t>the pursuit of optimum performance consistent with those risks.</w:t>
      </w:r>
    </w:p>
    <w:p w:rsidR="009C1BDA" w:rsidRPr="00FC4EB9" w:rsidRDefault="00E907BF" w:rsidP="009C1BDA">
      <w:pPr>
        <w:jc w:val="both"/>
      </w:pPr>
    </w:p>
    <w:p w:rsidR="00596EFF" w:rsidRDefault="00EA0612" w:rsidP="009C1BDA">
      <w:pPr>
        <w:jc w:val="both"/>
      </w:pPr>
      <w:r>
        <w:rPr>
          <w:i/>
        </w:rPr>
        <w:t>Risk Appetite</w:t>
      </w:r>
    </w:p>
    <w:p w:rsidR="00596EFF" w:rsidRPr="00596EFF" w:rsidRDefault="00EA0612" w:rsidP="009C1BDA">
      <w:pPr>
        <w:jc w:val="both"/>
      </w:pPr>
      <w:r>
        <w:t>The council's appetite for risk within its treasury management activities is low. A premium is placed on the security of capital and credit risk management and on the maintenance of financial stability in terms of managing inflation and interest rate risk, their effects on the council's reserves and balances and on the cost of borrowing.</w:t>
      </w:r>
    </w:p>
    <w:p w:rsidR="00596EFF" w:rsidRDefault="00E907BF" w:rsidP="009C1BDA">
      <w:pPr>
        <w:jc w:val="both"/>
        <w:rPr>
          <w:i/>
        </w:rPr>
      </w:pPr>
    </w:p>
    <w:p w:rsidR="009C1BDA" w:rsidRPr="00FC4EB9" w:rsidRDefault="00EA0612" w:rsidP="009C1BDA">
      <w:pPr>
        <w:jc w:val="both"/>
        <w:rPr>
          <w:i/>
        </w:rPr>
      </w:pPr>
      <w:r w:rsidRPr="00FC4EB9">
        <w:rPr>
          <w:i/>
        </w:rPr>
        <w:t>Risk management</w:t>
      </w:r>
    </w:p>
    <w:p w:rsidR="009C1BDA" w:rsidRDefault="00EA0612" w:rsidP="009C1BDA">
      <w:pPr>
        <w:jc w:val="both"/>
      </w:pPr>
      <w:r w:rsidRPr="00FC4EB9">
        <w:t xml:space="preserve">The </w:t>
      </w:r>
      <w:r>
        <w:t>council</w:t>
      </w:r>
      <w:r w:rsidRPr="00FC4EB9">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w:t>
      </w:r>
      <w:r>
        <w:t>on how the actions taken and the financial instruments entered into result in reduced risk exposure.</w:t>
      </w:r>
    </w:p>
    <w:p w:rsidR="006C3125" w:rsidRPr="00FC4EB9" w:rsidRDefault="00E907BF" w:rsidP="009C1BDA">
      <w:pPr>
        <w:jc w:val="both"/>
      </w:pPr>
    </w:p>
    <w:p w:rsidR="009C1BDA" w:rsidRPr="00FC4EB9" w:rsidRDefault="00EA0612" w:rsidP="009C1BDA">
      <w:pPr>
        <w:jc w:val="both"/>
        <w:rPr>
          <w:i/>
        </w:rPr>
      </w:pPr>
      <w:r w:rsidRPr="00FC4EB9">
        <w:rPr>
          <w:i/>
        </w:rPr>
        <w:t>Value for money</w:t>
      </w:r>
    </w:p>
    <w:p w:rsidR="009C1BDA" w:rsidRPr="00FC4EB9" w:rsidRDefault="00EA0612" w:rsidP="009C1BDA">
      <w:pPr>
        <w:jc w:val="both"/>
      </w:pPr>
      <w:r w:rsidRPr="00FC4EB9">
        <w:t xml:space="preserve">The </w:t>
      </w:r>
      <w:r>
        <w:t xml:space="preserve">council </w:t>
      </w:r>
      <w:r w:rsidRPr="00FC4EB9">
        <w:t>acknowledges that effective treasury management provide</w:t>
      </w:r>
      <w:r>
        <w:t>s</w:t>
      </w:r>
      <w:r w:rsidRPr="00FC4EB9">
        <w:t xml:space="preserv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9C1BDA" w:rsidRPr="00FC4EB9" w:rsidRDefault="00E907BF" w:rsidP="009C1BDA">
      <w:pPr>
        <w:jc w:val="both"/>
      </w:pPr>
    </w:p>
    <w:p w:rsidR="009C1BDA" w:rsidRPr="00FC4EB9" w:rsidRDefault="00EA0612" w:rsidP="009C1BDA">
      <w:pPr>
        <w:jc w:val="both"/>
        <w:rPr>
          <w:i/>
        </w:rPr>
      </w:pPr>
      <w:r w:rsidRPr="00FC4EB9">
        <w:rPr>
          <w:i/>
        </w:rPr>
        <w:t xml:space="preserve">Borrowing policy </w:t>
      </w:r>
    </w:p>
    <w:p w:rsidR="00A37196" w:rsidRPr="00A37196" w:rsidRDefault="00EA0612" w:rsidP="00A37196">
      <w:r w:rsidRPr="00A37196">
        <w:t xml:space="preserve">The </w:t>
      </w:r>
      <w:r>
        <w:t xml:space="preserve">council </w:t>
      </w:r>
      <w:r w:rsidRPr="00A37196">
        <w:t>aims to fund its capital expenditure in a cost effective manner. This will involve using short term and variable rate loans when these are seen as being the most beneficial strategy. However consideration will be given to</w:t>
      </w:r>
      <w:r>
        <w:t xml:space="preserve"> </w:t>
      </w:r>
      <w:r w:rsidRPr="00A37196">
        <w:t xml:space="preserve">long term funding needs and the stability to budgets that fixed interest loans provide. The </w:t>
      </w:r>
      <w:r>
        <w:t>c</w:t>
      </w:r>
      <w:r w:rsidRPr="00A37196">
        <w:t xml:space="preserve">ouncil will also </w:t>
      </w:r>
      <w:r>
        <w:t>periodically</w:t>
      </w:r>
      <w:r w:rsidRPr="00A37196">
        <w:t xml:space="preserve"> evaluate debt restructuring opportunities of the existing portfolio.</w:t>
      </w:r>
    </w:p>
    <w:p w:rsidR="009C1BDA" w:rsidRPr="00FC4EB9" w:rsidRDefault="00E907BF" w:rsidP="009C1BDA">
      <w:pPr>
        <w:jc w:val="both"/>
      </w:pPr>
    </w:p>
    <w:p w:rsidR="00D3709D" w:rsidRPr="001143BB" w:rsidRDefault="00EA0612" w:rsidP="00D3709D">
      <w:pPr>
        <w:jc w:val="both"/>
      </w:pPr>
      <w:r w:rsidRPr="00FC4EB9">
        <w:t xml:space="preserve">The </w:t>
      </w:r>
      <w:r>
        <w:t>council</w:t>
      </w:r>
      <w:r w:rsidRPr="00FC4EB9">
        <w:t xml:space="preserve"> will set an affordable borrowing limit each year in compliance with the </w:t>
      </w:r>
      <w:r w:rsidRPr="00FC4EB9">
        <w:rPr>
          <w:i/>
        </w:rPr>
        <w:t>Local Government Act 2003</w:t>
      </w:r>
      <w:r w:rsidRPr="00FC4EB9">
        <w:t xml:space="preserve">, and will have regard to the </w:t>
      </w:r>
      <w:r w:rsidRPr="00FC4EB9">
        <w:rPr>
          <w:i/>
        </w:rPr>
        <w:t>CIPFA Prudential Code for Capital Finance in Local Authorities</w:t>
      </w:r>
      <w:r>
        <w:rPr>
          <w:i/>
        </w:rPr>
        <w:t xml:space="preserve"> 2011</w:t>
      </w:r>
      <w:r w:rsidRPr="00FC4EB9">
        <w:rPr>
          <w:i/>
        </w:rPr>
        <w:t xml:space="preserve"> </w:t>
      </w:r>
      <w:r w:rsidRPr="00FC4EB9">
        <w:t>when setting that limit.  It will also set limits on its exposure to changes in interest rates and limits on the maturity structure of its borrowing in the treasury management strategy report each year.</w:t>
      </w:r>
      <w:r>
        <w:t xml:space="preserve"> The council also has regard to other relevant CIPFA publications such as the </w:t>
      </w:r>
      <w:r w:rsidRPr="00EA0612">
        <w:rPr>
          <w:i/>
        </w:rPr>
        <w:t>Treasury Risk Toolkit for Local Authorities 2012</w:t>
      </w:r>
      <w:r w:rsidRPr="005262E1">
        <w:t xml:space="preserve"> and</w:t>
      </w:r>
      <w:r>
        <w:t xml:space="preserve"> </w:t>
      </w:r>
      <w:r w:rsidRPr="00EA0612">
        <w:rPr>
          <w:i/>
        </w:rPr>
        <w:t>Using Financial Instruments to Manage Risk 2013</w:t>
      </w:r>
      <w:r>
        <w:t>.</w:t>
      </w:r>
    </w:p>
    <w:p w:rsidR="009C1BDA" w:rsidRPr="00FC4EB9" w:rsidRDefault="00E907BF" w:rsidP="009C1BDA">
      <w:pPr>
        <w:jc w:val="both"/>
      </w:pPr>
    </w:p>
    <w:p w:rsidR="009C1BDA" w:rsidRDefault="00E907BF" w:rsidP="009C1BDA">
      <w:pPr>
        <w:jc w:val="both"/>
      </w:pPr>
    </w:p>
    <w:p w:rsidR="006C3125" w:rsidRDefault="00EA0612" w:rsidP="009C1BDA">
      <w:pPr>
        <w:jc w:val="both"/>
      </w:pPr>
      <w:r>
        <w:rPr>
          <w:i/>
        </w:rPr>
        <w:t>Cash Backing of Reserves</w:t>
      </w:r>
    </w:p>
    <w:p w:rsidR="006C3125" w:rsidRPr="006C3125" w:rsidRDefault="00EA0612" w:rsidP="009C1BDA">
      <w:pPr>
        <w:jc w:val="both"/>
      </w:pPr>
      <w:r>
        <w:t>The council is committed to the prudent management of its finances. In pursuit of this objective it should ensure that it holds investment balances sufficient to meet the value of those balance sheet items such as reserves and provisions which will be drawn down as cash. These investment balances will have due regard to the anticipated timing for the drawdown of the cash backed reserves and provisions. In particular the planned use of reserves in the council's revenue budget will impact on the level of investments held.</w:t>
      </w:r>
    </w:p>
    <w:p w:rsidR="006C3125" w:rsidRPr="00FC4EB9" w:rsidRDefault="00E907BF" w:rsidP="009C1BDA">
      <w:pPr>
        <w:jc w:val="both"/>
      </w:pPr>
    </w:p>
    <w:p w:rsidR="009C1BDA" w:rsidRPr="00FC4EB9" w:rsidRDefault="00EA0612" w:rsidP="009C1BDA">
      <w:pPr>
        <w:jc w:val="both"/>
        <w:rPr>
          <w:i/>
        </w:rPr>
      </w:pPr>
      <w:r w:rsidRPr="00FC4EB9">
        <w:rPr>
          <w:i/>
        </w:rPr>
        <w:t xml:space="preserve">Investment policy </w:t>
      </w:r>
    </w:p>
    <w:p w:rsidR="009C1BDA" w:rsidRPr="00FC4EB9" w:rsidRDefault="00EA0612" w:rsidP="009C1BDA">
      <w:pPr>
        <w:jc w:val="both"/>
      </w:pPr>
      <w:r w:rsidRPr="00FC4EB9">
        <w:t xml:space="preserve">The </w:t>
      </w:r>
      <w:r>
        <w:t>council</w:t>
      </w:r>
      <w:r w:rsidRPr="00FC4EB9">
        <w:t xml:space="preserve">’s primary objectives for the investment of its surplus funds are to protect the principal sums invested from loss, </w:t>
      </w:r>
      <w:r>
        <w:t xml:space="preserve">through either credit events or loss of value by inflation erosion or interest rate changes, </w:t>
      </w:r>
      <w:r w:rsidRPr="00FC4EB9">
        <w:t xml:space="preserve">and to ensure adequate liquidity so that funds are available for expenditure when needed.  The generation of investment income to support the provision of </w:t>
      </w:r>
      <w:r>
        <w:t xml:space="preserve">the council's </w:t>
      </w:r>
      <w:r w:rsidRPr="00FC4EB9">
        <w:t>services is an important, but secondary, objective.</w:t>
      </w:r>
    </w:p>
    <w:p w:rsidR="009C1BDA" w:rsidRPr="00FC4EB9" w:rsidRDefault="00E907BF" w:rsidP="009C1BDA">
      <w:pPr>
        <w:jc w:val="both"/>
      </w:pPr>
    </w:p>
    <w:p w:rsidR="009C1BDA" w:rsidRPr="00FC4EB9" w:rsidRDefault="00EA0612" w:rsidP="009C1BDA">
      <w:pPr>
        <w:jc w:val="both"/>
      </w:pPr>
      <w:r w:rsidRPr="00FC4EB9">
        <w:t xml:space="preserve">The </w:t>
      </w:r>
      <w:r>
        <w:t>council</w:t>
      </w:r>
      <w:r w:rsidRPr="00FC4EB9">
        <w:t xml:space="preserve"> will have regard to the Communities and Local Government Guidance on Local Government Investments and will approve an investment strategy</w:t>
      </w:r>
      <w:r>
        <w:t xml:space="preserve"> </w:t>
      </w:r>
      <w:r w:rsidRPr="00FC4EB9">
        <w:t>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p w:rsidR="009C1BDA" w:rsidRPr="00AD1B54" w:rsidRDefault="00E907BF" w:rsidP="009C1BDA">
      <w:pPr>
        <w:spacing w:after="240"/>
        <w:jc w:val="both"/>
        <w:rPr>
          <w:sz w:val="22"/>
          <w:szCs w:val="22"/>
        </w:rPr>
      </w:pPr>
    </w:p>
    <w:p w:rsidR="009C1BDA" w:rsidRDefault="00E907BF" w:rsidP="009C1BDA"/>
    <w:p w:rsidR="00C50BD4" w:rsidRDefault="00E907BF"/>
    <w:sectPr w:rsidR="00C50BD4" w:rsidSect="009C1BDA">
      <w:footerReference w:type="default" r:id="rId7"/>
      <w:footerReference w:type="first" r:id="rId8"/>
      <w:pgSz w:w="11907" w:h="16840" w:code="9"/>
      <w:pgMar w:top="1440" w:right="1440" w:bottom="1440" w:left="1440" w:header="720" w:footer="306" w:gutter="0"/>
      <w:paperSrc w:first="7" w:other="7"/>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42" w:rsidRDefault="00EA0612">
      <w:r>
        <w:separator/>
      </w:r>
    </w:p>
  </w:endnote>
  <w:endnote w:type="continuationSeparator" w:id="0">
    <w:p w:rsidR="001E0242" w:rsidRDefault="00EA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010">
      <w:tc>
        <w:tcPr>
          <w:tcW w:w="9243" w:type="dxa"/>
          <w:tcBorders>
            <w:top w:val="nil"/>
            <w:left w:val="nil"/>
            <w:bottom w:val="nil"/>
            <w:right w:val="nil"/>
          </w:tcBorders>
        </w:tcPr>
        <w:p w:rsidR="0006309D" w:rsidRDefault="00E907BF">
          <w:pPr>
            <w:pStyle w:val="Footer"/>
            <w:tabs>
              <w:tab w:val="clear" w:pos="4153"/>
            </w:tabs>
            <w:ind w:right="-45"/>
            <w:jc w:val="right"/>
          </w:pPr>
        </w:p>
      </w:tc>
    </w:tr>
  </w:tbl>
  <w:p w:rsidR="0006309D" w:rsidRDefault="00E907BF">
    <w:pPr>
      <w:pStyle w:val="Footer"/>
      <w:tabs>
        <w:tab w:val="clear" w:pos="4153"/>
      </w:tabs>
      <w:ind w:right="-4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010">
      <w:tc>
        <w:tcPr>
          <w:tcW w:w="9243" w:type="dxa"/>
          <w:tcBorders>
            <w:top w:val="nil"/>
            <w:left w:val="nil"/>
            <w:bottom w:val="nil"/>
            <w:right w:val="nil"/>
          </w:tcBorders>
        </w:tcPr>
        <w:p w:rsidR="0006309D" w:rsidRDefault="00E907BF">
          <w:pPr>
            <w:pStyle w:val="Footer"/>
            <w:tabs>
              <w:tab w:val="clear" w:pos="4153"/>
            </w:tabs>
            <w:ind w:right="-45"/>
            <w:jc w:val="right"/>
          </w:pPr>
        </w:p>
      </w:tc>
    </w:tr>
  </w:tbl>
  <w:p w:rsidR="0006309D" w:rsidRDefault="00E907B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42" w:rsidRDefault="00EA0612">
      <w:r>
        <w:separator/>
      </w:r>
    </w:p>
  </w:footnote>
  <w:footnote w:type="continuationSeparator" w:id="0">
    <w:p w:rsidR="001E0242" w:rsidRDefault="00EA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3A"/>
    <w:multiLevelType w:val="hybridMultilevel"/>
    <w:tmpl w:val="22B6F006"/>
    <w:lvl w:ilvl="0" w:tplc="521A4464">
      <w:start w:val="1"/>
      <w:numFmt w:val="bullet"/>
      <w:lvlText w:val=""/>
      <w:lvlJc w:val="left"/>
      <w:pPr>
        <w:ind w:left="765" w:hanging="360"/>
      </w:pPr>
      <w:rPr>
        <w:rFonts w:ascii="Symbol" w:hAnsi="Symbol" w:hint="default"/>
      </w:rPr>
    </w:lvl>
    <w:lvl w:ilvl="1" w:tplc="1FE645F4" w:tentative="1">
      <w:start w:val="1"/>
      <w:numFmt w:val="bullet"/>
      <w:lvlText w:val="o"/>
      <w:lvlJc w:val="left"/>
      <w:pPr>
        <w:ind w:left="1485" w:hanging="360"/>
      </w:pPr>
      <w:rPr>
        <w:rFonts w:ascii="Courier New" w:hAnsi="Courier New" w:cs="Courier New" w:hint="default"/>
      </w:rPr>
    </w:lvl>
    <w:lvl w:ilvl="2" w:tplc="130068E4" w:tentative="1">
      <w:start w:val="1"/>
      <w:numFmt w:val="bullet"/>
      <w:lvlText w:val=""/>
      <w:lvlJc w:val="left"/>
      <w:pPr>
        <w:ind w:left="2205" w:hanging="360"/>
      </w:pPr>
      <w:rPr>
        <w:rFonts w:ascii="Wingdings" w:hAnsi="Wingdings" w:hint="default"/>
      </w:rPr>
    </w:lvl>
    <w:lvl w:ilvl="3" w:tplc="4E0460DA" w:tentative="1">
      <w:start w:val="1"/>
      <w:numFmt w:val="bullet"/>
      <w:lvlText w:val=""/>
      <w:lvlJc w:val="left"/>
      <w:pPr>
        <w:ind w:left="2925" w:hanging="360"/>
      </w:pPr>
      <w:rPr>
        <w:rFonts w:ascii="Symbol" w:hAnsi="Symbol" w:hint="default"/>
      </w:rPr>
    </w:lvl>
    <w:lvl w:ilvl="4" w:tplc="0C6A874A" w:tentative="1">
      <w:start w:val="1"/>
      <w:numFmt w:val="bullet"/>
      <w:lvlText w:val="o"/>
      <w:lvlJc w:val="left"/>
      <w:pPr>
        <w:ind w:left="3645" w:hanging="360"/>
      </w:pPr>
      <w:rPr>
        <w:rFonts w:ascii="Courier New" w:hAnsi="Courier New" w:cs="Courier New" w:hint="default"/>
      </w:rPr>
    </w:lvl>
    <w:lvl w:ilvl="5" w:tplc="CADE538E" w:tentative="1">
      <w:start w:val="1"/>
      <w:numFmt w:val="bullet"/>
      <w:lvlText w:val=""/>
      <w:lvlJc w:val="left"/>
      <w:pPr>
        <w:ind w:left="4365" w:hanging="360"/>
      </w:pPr>
      <w:rPr>
        <w:rFonts w:ascii="Wingdings" w:hAnsi="Wingdings" w:hint="default"/>
      </w:rPr>
    </w:lvl>
    <w:lvl w:ilvl="6" w:tplc="D8C80EB8" w:tentative="1">
      <w:start w:val="1"/>
      <w:numFmt w:val="bullet"/>
      <w:lvlText w:val=""/>
      <w:lvlJc w:val="left"/>
      <w:pPr>
        <w:ind w:left="5085" w:hanging="360"/>
      </w:pPr>
      <w:rPr>
        <w:rFonts w:ascii="Symbol" w:hAnsi="Symbol" w:hint="default"/>
      </w:rPr>
    </w:lvl>
    <w:lvl w:ilvl="7" w:tplc="0C021108" w:tentative="1">
      <w:start w:val="1"/>
      <w:numFmt w:val="bullet"/>
      <w:lvlText w:val="o"/>
      <w:lvlJc w:val="left"/>
      <w:pPr>
        <w:ind w:left="5805" w:hanging="360"/>
      </w:pPr>
      <w:rPr>
        <w:rFonts w:ascii="Courier New" w:hAnsi="Courier New" w:cs="Courier New" w:hint="default"/>
      </w:rPr>
    </w:lvl>
    <w:lvl w:ilvl="8" w:tplc="DE4EF530"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10"/>
    <w:rsid w:val="001E0242"/>
    <w:rsid w:val="00E907BF"/>
    <w:rsid w:val="00EA0612"/>
    <w:rsid w:val="00F6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5C265-827F-48B2-8E93-7BD03EF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Mansfield, Joanne</cp:lastModifiedBy>
  <cp:revision>5</cp:revision>
  <cp:lastPrinted>2012-01-31T15:56:00Z</cp:lastPrinted>
  <dcterms:created xsi:type="dcterms:W3CDTF">2018-01-16T12:09:00Z</dcterms:created>
  <dcterms:modified xsi:type="dcterms:W3CDTF">2018-01-17T13:40:00Z</dcterms:modified>
</cp:coreProperties>
</file>